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16E" w:rsidRPr="007669A2" w:rsidRDefault="002079EC" w:rsidP="007669A2">
      <w:pPr>
        <w:jc w:val="center"/>
        <w:rPr>
          <w:b/>
        </w:rPr>
      </w:pPr>
      <w:r w:rsidRPr="007669A2">
        <w:rPr>
          <w:b/>
        </w:rPr>
        <w:t>REPORT CONGRESSO NAZIONALE FORENSE DI CATANIA TENUTOSI NEI GIORNI 4,5,6 OTTOBRE 2018</w:t>
      </w:r>
    </w:p>
    <w:p w:rsidR="0075168B" w:rsidRDefault="0075168B" w:rsidP="0054628C">
      <w:pPr>
        <w:jc w:val="both"/>
      </w:pPr>
    </w:p>
    <w:p w:rsidR="002079EC" w:rsidRDefault="002079EC" w:rsidP="0054628C">
      <w:pPr>
        <w:jc w:val="both"/>
      </w:pPr>
      <w:r>
        <w:t xml:space="preserve">Il Congresso Nazionale Forense tenutosi </w:t>
      </w:r>
      <w:r w:rsidR="00E950C9">
        <w:t xml:space="preserve">a Catania </w:t>
      </w:r>
      <w:r>
        <w:t>in data 4,</w:t>
      </w:r>
      <w:r w:rsidR="00E950C9">
        <w:t xml:space="preserve"> </w:t>
      </w:r>
      <w:r>
        <w:t>5 e 6 ottobre 2018</w:t>
      </w:r>
      <w:r w:rsidR="00E950C9">
        <w:t xml:space="preserve">, </w:t>
      </w:r>
      <w:r>
        <w:t xml:space="preserve"> presso la Chiesa di San Nicolò l’Arena</w:t>
      </w:r>
      <w:r w:rsidR="00E950C9">
        <w:t>,</w:t>
      </w:r>
      <w:r>
        <w:t xml:space="preserve"> ha sancito la necessità di riconoscere</w:t>
      </w:r>
      <w:r w:rsidR="00E950C9">
        <w:t>, formalmente,</w:t>
      </w:r>
      <w:r>
        <w:t xml:space="preserve"> la figura</w:t>
      </w:r>
      <w:r w:rsidR="00E950C9">
        <w:t xml:space="preserve"> dell’Avvocato all’interno del dettato</w:t>
      </w:r>
      <w:r>
        <w:t xml:space="preserve"> </w:t>
      </w:r>
      <w:r w:rsidR="00E950C9">
        <w:t xml:space="preserve">Costituzionale, </w:t>
      </w:r>
      <w:r>
        <w:t xml:space="preserve">non più solo come richiamo indiretto negli artt. 24 e 111 della Costituzione </w:t>
      </w:r>
      <w:r w:rsidR="00E950C9">
        <w:t>(</w:t>
      </w:r>
      <w:r>
        <w:t xml:space="preserve">come diritto </w:t>
      </w:r>
      <w:r w:rsidR="00E950C9">
        <w:t xml:space="preserve">dei cittadini </w:t>
      </w:r>
      <w:r>
        <w:t>di far valere i</w:t>
      </w:r>
      <w:r w:rsidR="00E950C9">
        <w:t xml:space="preserve"> propri diritti, mediante</w:t>
      </w:r>
      <w:r>
        <w:t xml:space="preserve"> una “difesa tecnica”, senza alcuna menzione del sog</w:t>
      </w:r>
      <w:r w:rsidR="00E950C9">
        <w:t>getto che questa difesa rende possibile), ma riconoscendo il ruolo e l’importanza del difensore</w:t>
      </w:r>
      <w:r>
        <w:t>.</w:t>
      </w:r>
    </w:p>
    <w:p w:rsidR="002079EC" w:rsidRDefault="002079EC" w:rsidP="0054628C">
      <w:pPr>
        <w:jc w:val="both"/>
      </w:pPr>
      <w:r>
        <w:t>Ed allora per acclamazione davanti al Ministro di Giustizia Bona</w:t>
      </w:r>
      <w:r w:rsidR="00E950C9">
        <w:t>fede (che è Avvocato</w:t>
      </w:r>
      <w:r>
        <w:t xml:space="preserve">) si è arrivati al riconoscimento costituzionale dell’AVVOCATO e della FUNZIONE dell’Avvocatura. </w:t>
      </w:r>
    </w:p>
    <w:p w:rsidR="002079EC" w:rsidRDefault="002079EC">
      <w:r>
        <w:t>TEMI TRATTATI E MOZIONI APPROVATE</w:t>
      </w:r>
      <w:r w:rsidR="00E950C9">
        <w:t xml:space="preserve"> (si veda il link </w:t>
      </w:r>
      <w:r w:rsidR="00A155E7">
        <w:t xml:space="preserve">mozioni approvate – Congresso Nazionale Forense) </w:t>
      </w:r>
    </w:p>
    <w:p w:rsidR="00DC2891" w:rsidRDefault="00DC2891" w:rsidP="002303B3">
      <w:pPr>
        <w:pStyle w:val="Paragrafoelenco"/>
        <w:numPr>
          <w:ilvl w:val="0"/>
          <w:numId w:val="1"/>
        </w:numPr>
        <w:jc w:val="both"/>
      </w:pPr>
      <w:r w:rsidRPr="00A81B81">
        <w:rPr>
          <w:b/>
        </w:rPr>
        <w:t>AVVOCATO IN COSTITUZIONE</w:t>
      </w:r>
      <w:r w:rsidR="00242892" w:rsidRPr="00A81B81">
        <w:rPr>
          <w:b/>
        </w:rPr>
        <w:t xml:space="preserve"> </w:t>
      </w:r>
      <w:r w:rsidR="00242892">
        <w:t>(nuovo progetto di legge approvato per acclamazione)</w:t>
      </w:r>
      <w:r w:rsidR="00BA7B77">
        <w:t xml:space="preserve">: riconoscere in modo espresso nella Costituzione il ruolo della difesa (che è diritto inviolabile) in capo all’Avvocato, </w:t>
      </w:r>
      <w:r w:rsidR="002303B3">
        <w:t>figura che deve assumere una importanza “Costituzionale”</w:t>
      </w:r>
      <w:r w:rsidR="00BA7B77">
        <w:t>, in quanto garante della Legge e della sua effettiva applicazione. L’Ordine di Milano ha anche proposto che sia l’Avvocatura ad eleggere un membro della Corte Costituzionale (mozione che è stata approvata dal Congresso)</w:t>
      </w:r>
    </w:p>
    <w:p w:rsidR="002303B3" w:rsidRPr="002303B3" w:rsidRDefault="00D85842" w:rsidP="0032018A">
      <w:pPr>
        <w:pStyle w:val="Paragrafoelenco"/>
        <w:numPr>
          <w:ilvl w:val="0"/>
          <w:numId w:val="1"/>
        </w:numPr>
        <w:jc w:val="both"/>
      </w:pPr>
      <w:r w:rsidRPr="00A81B81">
        <w:rPr>
          <w:b/>
        </w:rPr>
        <w:t>MODIFICHE STATUTARIE</w:t>
      </w:r>
      <w:r w:rsidR="0032018A" w:rsidRPr="00A81B81">
        <w:rPr>
          <w:b/>
        </w:rPr>
        <w:t xml:space="preserve"> CONGRESSUALI – COMPITI DELL’</w:t>
      </w:r>
      <w:r w:rsidRPr="00A81B81">
        <w:rPr>
          <w:b/>
        </w:rPr>
        <w:t xml:space="preserve"> OCF</w:t>
      </w:r>
      <w:r w:rsidR="002303B3">
        <w:rPr>
          <w:b/>
        </w:rPr>
        <w:t xml:space="preserve">. </w:t>
      </w:r>
    </w:p>
    <w:p w:rsidR="00D85842" w:rsidRDefault="002303B3" w:rsidP="002303B3">
      <w:pPr>
        <w:pStyle w:val="Paragrafoelenco"/>
        <w:jc w:val="both"/>
      </w:pPr>
      <w:r>
        <w:rPr>
          <w:b/>
        </w:rPr>
        <w:t xml:space="preserve">L’OCF </w:t>
      </w:r>
      <w:r>
        <w:t xml:space="preserve"> è l’</w:t>
      </w:r>
      <w:r w:rsidR="00D85842">
        <w:t>O</w:t>
      </w:r>
      <w:r w:rsidR="00A81B81">
        <w:t>r</w:t>
      </w:r>
      <w:r>
        <w:t xml:space="preserve">ganismo Congressuale: </w:t>
      </w:r>
      <w:r w:rsidR="0032018A">
        <w:t xml:space="preserve">Organo che deve dare </w:t>
      </w:r>
      <w:r w:rsidR="0032018A" w:rsidRPr="002303B3">
        <w:rPr>
          <w:u w:val="single"/>
        </w:rPr>
        <w:t xml:space="preserve">attuazione ai deliberati congressuali, </w:t>
      </w:r>
      <w:r w:rsidR="0032018A">
        <w:t>con la funzione di curare “l’elaborazione, l’esecuzione e la divulgazione in ogni opportuna sede</w:t>
      </w:r>
      <w:r w:rsidR="00A81B81">
        <w:t xml:space="preserve"> </w:t>
      </w:r>
      <w:r w:rsidR="0032018A">
        <w:t>di progetti e proposte”, proclamando anche l’astensione dalle udienze</w:t>
      </w:r>
      <w:r>
        <w:t>,</w:t>
      </w:r>
      <w:r w:rsidR="0032018A">
        <w:t xml:space="preserve"> nel rispetto del codice di autoregolamentazione; agisce nei confronti delle autorità amministrative  regolatrici e di controllo, e nei confronti dell’autorità Giudiziaria a tutela dei valori e</w:t>
      </w:r>
      <w:r w:rsidR="00A81B81">
        <w:t>spressi nei deliberati cong</w:t>
      </w:r>
      <w:r w:rsidR="0032018A">
        <w:t>ressuali; persegue il dialogo tra le componenti dell’</w:t>
      </w:r>
      <w:r>
        <w:t>avvocatura , CNF, Cassa Forense</w:t>
      </w:r>
      <w:r w:rsidR="0032018A">
        <w:t>. Nelle modifiche statutarie si è registrata – durante le votazioni – una incomprensibile mancata approvazione di mozioni a tutela della parità di genere (in particolare volta alla tutela delle pari opportunità, in questo senso possiamo e dobbiamo ancora fare molto).</w:t>
      </w:r>
    </w:p>
    <w:p w:rsidR="0032018A" w:rsidRDefault="00D85842" w:rsidP="0032018A">
      <w:pPr>
        <w:pStyle w:val="Paragrafoelenco"/>
        <w:numPr>
          <w:ilvl w:val="0"/>
          <w:numId w:val="1"/>
        </w:numPr>
        <w:jc w:val="both"/>
      </w:pPr>
      <w:r w:rsidRPr="00A81B81">
        <w:rPr>
          <w:b/>
        </w:rPr>
        <w:t>MOZIONI CAMERE NAZIONALI CIVILI SULLA SEMPLIFICAZIONE DEL PROCESSO CIVILE</w:t>
      </w:r>
      <w:r w:rsidR="0032018A" w:rsidRPr="00A81B81">
        <w:rPr>
          <w:b/>
        </w:rPr>
        <w:t xml:space="preserve">, LAVORO E TRIBUTARIO, PROCEDURA ESECUTIVA </w:t>
      </w:r>
      <w:proofErr w:type="gramStart"/>
      <w:r w:rsidR="0032018A" w:rsidRPr="00A81B81">
        <w:rPr>
          <w:b/>
        </w:rPr>
        <w:t>MOBILIARE</w:t>
      </w:r>
      <w:r w:rsidR="0032018A">
        <w:t xml:space="preserve">  (</w:t>
      </w:r>
      <w:proofErr w:type="gramEnd"/>
      <w:r w:rsidR="0032018A">
        <w:t>la richiesta di semplificazione della  procedura nel rito del lavoro, del processo tributario e della procedura esecutiva, con richiesta specifica di chiedere al legislatore tale semplificazione è stata approvata per acclamazione)</w:t>
      </w:r>
    </w:p>
    <w:p w:rsidR="00071DF3" w:rsidRDefault="0032018A" w:rsidP="0032018A">
      <w:pPr>
        <w:pStyle w:val="Paragrafoelenco"/>
        <w:numPr>
          <w:ilvl w:val="0"/>
          <w:numId w:val="2"/>
        </w:numPr>
        <w:jc w:val="both"/>
      </w:pPr>
      <w:r>
        <w:t>Processo civile (approvata la mozione sostenuta dall’Unione Camere Civili)</w:t>
      </w:r>
      <w:r w:rsidR="00071DF3">
        <w:t xml:space="preserve">: </w:t>
      </w:r>
    </w:p>
    <w:p w:rsidR="00071DF3" w:rsidRDefault="00071DF3" w:rsidP="00071DF3">
      <w:pPr>
        <w:pStyle w:val="Paragrafoelenco"/>
        <w:numPr>
          <w:ilvl w:val="0"/>
          <w:numId w:val="3"/>
        </w:numPr>
        <w:jc w:val="both"/>
      </w:pPr>
      <w:r>
        <w:t>potenziamento delle opportunità di istruzione preventiva – al di là dei casi di urgenza -</w:t>
      </w:r>
      <w:r w:rsidR="0075168B">
        <w:t xml:space="preserve"> </w:t>
      </w:r>
      <w:r>
        <w:t>con accento posto sul</w:t>
      </w:r>
      <w:r w:rsidR="0032018A">
        <w:t xml:space="preserve"> </w:t>
      </w:r>
      <w:r>
        <w:t>ruolo del difensore</w:t>
      </w:r>
      <w:r w:rsidR="00323C66">
        <w:t>;</w:t>
      </w:r>
    </w:p>
    <w:p w:rsidR="00071DF3" w:rsidRDefault="00071DF3" w:rsidP="00071DF3">
      <w:pPr>
        <w:pStyle w:val="Paragrafoelenco"/>
        <w:numPr>
          <w:ilvl w:val="0"/>
          <w:numId w:val="3"/>
        </w:numPr>
        <w:jc w:val="both"/>
      </w:pPr>
      <w:r>
        <w:t>revisione disciplina in materia di procedibilità rispetto alla mediazione /negoziazione assistita, unificazione delle ipotesi di obbligatorietà</w:t>
      </w:r>
      <w:r w:rsidR="003C3F84">
        <w:t>;</w:t>
      </w:r>
    </w:p>
    <w:p w:rsidR="00D85842" w:rsidRDefault="00071DF3" w:rsidP="00071DF3">
      <w:pPr>
        <w:pStyle w:val="Paragrafoelenco"/>
        <w:numPr>
          <w:ilvl w:val="0"/>
          <w:numId w:val="3"/>
        </w:numPr>
        <w:jc w:val="both"/>
      </w:pPr>
      <w:r>
        <w:t>valorizzare e potenziare il ruolo dei difensori, con previsione che la condizione di procedibilità possa essere salvaguardata anche in pendenza di giudizio, fatti salvi i diritti di tutte le parti, con la previsione di due ulteriori memorie</w:t>
      </w:r>
      <w:r w:rsidR="003C3F84">
        <w:t>;</w:t>
      </w:r>
      <w:r w:rsidR="00D85842">
        <w:t xml:space="preserve">  </w:t>
      </w:r>
    </w:p>
    <w:p w:rsidR="00071DF3" w:rsidRDefault="0075168B" w:rsidP="00071DF3">
      <w:pPr>
        <w:pStyle w:val="Paragrafoelenco"/>
        <w:numPr>
          <w:ilvl w:val="0"/>
          <w:numId w:val="3"/>
        </w:numPr>
        <w:jc w:val="both"/>
      </w:pPr>
      <w:r>
        <w:t>g</w:t>
      </w:r>
      <w:r w:rsidR="00071DF3">
        <w:t xml:space="preserve">eneralizzare lo schema decisorio ex art. 28 sexies </w:t>
      </w:r>
      <w:proofErr w:type="spellStart"/>
      <w:r w:rsidR="00071DF3">
        <w:t>cpc</w:t>
      </w:r>
      <w:proofErr w:type="spellEnd"/>
      <w:r w:rsidR="00071DF3">
        <w:t xml:space="preserve"> con previsione della facoltà di depositare memorie</w:t>
      </w:r>
      <w:r w:rsidR="003C3F84">
        <w:t>;</w:t>
      </w:r>
    </w:p>
    <w:p w:rsidR="00071DF3" w:rsidRDefault="0075168B" w:rsidP="00071DF3">
      <w:pPr>
        <w:pStyle w:val="Paragrafoelenco"/>
        <w:numPr>
          <w:ilvl w:val="0"/>
          <w:numId w:val="3"/>
        </w:numPr>
        <w:jc w:val="both"/>
      </w:pPr>
      <w:r>
        <w:t>r</w:t>
      </w:r>
      <w:r w:rsidR="00071DF3">
        <w:t>ilevanza della contumacia e non opposizione, con possibile decisione con sentenza semplificata</w:t>
      </w:r>
      <w:r w:rsidR="003C3F84">
        <w:t>;</w:t>
      </w:r>
    </w:p>
    <w:p w:rsidR="00071DF3" w:rsidRDefault="0075168B" w:rsidP="00071DF3">
      <w:pPr>
        <w:pStyle w:val="Paragrafoelenco"/>
        <w:numPr>
          <w:ilvl w:val="0"/>
          <w:numId w:val="3"/>
        </w:numPr>
        <w:jc w:val="both"/>
      </w:pPr>
      <w:r>
        <w:lastRenderedPageBreak/>
        <w:t>f</w:t>
      </w:r>
      <w:r w:rsidR="00071DF3">
        <w:t>avorire la specializzazione: al GDP solo competenza in materia di controversie condominiali, risarcimento danni da circolazione autoveicoli e natanti sino al limite di valore di € 50.000,00 ed opposizioni sanzioni amministrative (escluse quelle già di competenza del tribunale)</w:t>
      </w:r>
      <w:r w:rsidR="003C3F84">
        <w:t>;</w:t>
      </w:r>
    </w:p>
    <w:p w:rsidR="00071DF3" w:rsidRDefault="0075168B" w:rsidP="00071DF3">
      <w:pPr>
        <w:pStyle w:val="Paragrafoelenco"/>
        <w:numPr>
          <w:ilvl w:val="0"/>
          <w:numId w:val="3"/>
        </w:numPr>
        <w:jc w:val="both"/>
      </w:pPr>
      <w:r>
        <w:t>s</w:t>
      </w:r>
      <w:r w:rsidR="00071DF3">
        <w:t xml:space="preserve">emplificazione del processo di appello (introduzione del ricorso e </w:t>
      </w:r>
      <w:r w:rsidR="00821C94">
        <w:t>successiva iscrizione a ruolo) con abolizione anche della normativa del filtro in appello (artt. 347,348,348 bis e ter)</w:t>
      </w:r>
      <w:r w:rsidR="003C3F84">
        <w:t>;</w:t>
      </w:r>
    </w:p>
    <w:p w:rsidR="00821C94" w:rsidRDefault="0075168B" w:rsidP="00071DF3">
      <w:pPr>
        <w:pStyle w:val="Paragrafoelenco"/>
        <w:numPr>
          <w:ilvl w:val="0"/>
          <w:numId w:val="3"/>
        </w:numPr>
        <w:jc w:val="both"/>
      </w:pPr>
      <w:r>
        <w:t>p</w:t>
      </w:r>
      <w:r w:rsidR="00821C94">
        <w:t>ossibilità di emissione di decreto ingiuntivo non provvisoriamente esecutivo da parte dell’Avvocato del creditore, con emissione in tempi rapidi, minori costi e ferma la possibilità di opposizione</w:t>
      </w:r>
      <w:r w:rsidR="003C3F84">
        <w:t>;</w:t>
      </w:r>
    </w:p>
    <w:p w:rsidR="00821C94" w:rsidRDefault="0075168B" w:rsidP="00071DF3">
      <w:pPr>
        <w:pStyle w:val="Paragrafoelenco"/>
        <w:numPr>
          <w:ilvl w:val="0"/>
          <w:numId w:val="3"/>
        </w:numPr>
        <w:jc w:val="both"/>
      </w:pPr>
      <w:r>
        <w:t>r</w:t>
      </w:r>
      <w:r w:rsidR="00821C94">
        <w:t xml:space="preserve">iformulare il procedimento di opposizione del decreto ingiuntivo per regolare in senso maggiormente garantista la fase sommaria del giudizio di opposizione con </w:t>
      </w:r>
      <w:proofErr w:type="spellStart"/>
      <w:r w:rsidR="00821C94">
        <w:t>reclamabilità</w:t>
      </w:r>
      <w:proofErr w:type="spellEnd"/>
      <w:r w:rsidR="00821C94">
        <w:t xml:space="preserve"> dei provvedimenti ex artt. 648 e 649 </w:t>
      </w:r>
      <w:proofErr w:type="spellStart"/>
      <w:proofErr w:type="gramStart"/>
      <w:r w:rsidR="00821C94">
        <w:t>cpc</w:t>
      </w:r>
      <w:proofErr w:type="spellEnd"/>
      <w:r w:rsidR="00821C94">
        <w:t xml:space="preserve"> </w:t>
      </w:r>
      <w:r>
        <w:t>.</w:t>
      </w:r>
      <w:proofErr w:type="gramEnd"/>
    </w:p>
    <w:p w:rsidR="00821C94" w:rsidRDefault="00821C94" w:rsidP="00821C94">
      <w:pPr>
        <w:ind w:left="1080"/>
        <w:jc w:val="both"/>
      </w:pPr>
      <w:r>
        <w:t xml:space="preserve">Si è inoltre fatta richiesta della </w:t>
      </w:r>
      <w:r w:rsidR="00A81B81">
        <w:t xml:space="preserve">presenza di </w:t>
      </w:r>
      <w:r>
        <w:t>difesa tecnica</w:t>
      </w:r>
      <w:r w:rsidR="00A81B81">
        <w:t xml:space="preserve"> -</w:t>
      </w:r>
      <w:r>
        <w:t xml:space="preserve"> sempre e comunque </w:t>
      </w:r>
      <w:r w:rsidR="00A81B81">
        <w:t xml:space="preserve">- </w:t>
      </w:r>
      <w:r>
        <w:t>anche avanti al GDP quale che sia il valore.</w:t>
      </w:r>
    </w:p>
    <w:p w:rsidR="00E67F81" w:rsidRPr="00A81B81" w:rsidRDefault="00E67F81" w:rsidP="00E67F81">
      <w:pPr>
        <w:pStyle w:val="Paragrafoelenco"/>
        <w:numPr>
          <w:ilvl w:val="0"/>
          <w:numId w:val="1"/>
        </w:numPr>
        <w:jc w:val="both"/>
        <w:rPr>
          <w:b/>
        </w:rPr>
      </w:pPr>
      <w:r w:rsidRPr="00A81B81">
        <w:rPr>
          <w:b/>
        </w:rPr>
        <w:t>MOZIONI RELATIVE AL PATROCINIO A SPESE DELLO STATO E ALL’EQUO COMPENSO (approvate per acclamazione)</w:t>
      </w:r>
    </w:p>
    <w:p w:rsidR="00E67F81" w:rsidRDefault="00E67F81" w:rsidP="00E67F81">
      <w:pPr>
        <w:pStyle w:val="Paragrafoelenco"/>
        <w:numPr>
          <w:ilvl w:val="0"/>
          <w:numId w:val="2"/>
        </w:numPr>
        <w:jc w:val="both"/>
      </w:pPr>
      <w:r w:rsidRPr="00782E9B">
        <w:rPr>
          <w:u w:val="single"/>
        </w:rPr>
        <w:t xml:space="preserve">Mozione per la modifica dell’art. 2233 c.c. </w:t>
      </w:r>
      <w:r>
        <w:t xml:space="preserve">in combinato disposto con l’art. 91 </w:t>
      </w:r>
      <w:proofErr w:type="spellStart"/>
      <w:r>
        <w:t>cpc</w:t>
      </w:r>
      <w:proofErr w:type="spellEnd"/>
      <w:r>
        <w:t>: liquidazione delle spese ed equo compenso per tutti gli Avvocati, sulla base del ruolo riconosciuto dalla Costituzione al lavoro quale diritto essenziale della persona ed al ruolo dell’Avvocato ed alla difesa dei diritti della persona.</w:t>
      </w:r>
    </w:p>
    <w:p w:rsidR="00E67F81" w:rsidRDefault="00E67F81" w:rsidP="00E67F81">
      <w:pPr>
        <w:pStyle w:val="Paragrafoelenco"/>
        <w:ind w:left="1080"/>
        <w:jc w:val="both"/>
      </w:pPr>
      <w:r>
        <w:t>L’avvocato non può e non deve essere considerato contraente debole, pur in presenza di una sostanziale “deregulation” su una chiara e determinata entità del compen</w:t>
      </w:r>
      <w:r w:rsidR="006D6947">
        <w:t>so del professionista.</w:t>
      </w:r>
    </w:p>
    <w:p w:rsidR="006D6947" w:rsidRDefault="006D6947" w:rsidP="00E67F81">
      <w:pPr>
        <w:pStyle w:val="Paragrafoelenco"/>
        <w:ind w:left="1080"/>
        <w:jc w:val="both"/>
      </w:pPr>
      <w:r>
        <w:t xml:space="preserve">Non è più possibile prorogare la definizione di “un minimo e giusto compenso (equo)” per la qualità e quantità di lavoro svolto dal professionista, anche rispetto ai valori e parametri indicati nei regolamenti ministeriali. </w:t>
      </w:r>
    </w:p>
    <w:p w:rsidR="00416E24" w:rsidRDefault="006D6947" w:rsidP="00782E9B">
      <w:pPr>
        <w:pStyle w:val="Paragrafoelenco"/>
        <w:numPr>
          <w:ilvl w:val="0"/>
          <w:numId w:val="2"/>
        </w:numPr>
        <w:jc w:val="both"/>
      </w:pPr>
      <w:r w:rsidRPr="00782E9B">
        <w:rPr>
          <w:u w:val="single"/>
        </w:rPr>
        <w:t>PATROCINIO A SPESE DELLO STATO:</w:t>
      </w:r>
      <w:r>
        <w:t xml:space="preserve"> trova il suo fondamento nell’at. 24 della Costituzione. Anche per </w:t>
      </w:r>
      <w:r w:rsidR="00782E9B">
        <w:t xml:space="preserve">il </w:t>
      </w:r>
      <w:r>
        <w:t>difensore d’ufficio e per il difensore dei non abbienti</w:t>
      </w:r>
      <w:r w:rsidR="00782E9B">
        <w:t>,</w:t>
      </w:r>
      <w:r>
        <w:t xml:space="preserve"> in qualunque tipo di processo (penale, civile, amministrativo, contabile, tributario)</w:t>
      </w:r>
      <w:r w:rsidR="00782E9B">
        <w:t>,</w:t>
      </w:r>
      <w:r>
        <w:t xml:space="preserve"> è ragionevole tenere sp</w:t>
      </w:r>
      <w:r w:rsidR="00782E9B">
        <w:t>e</w:t>
      </w:r>
      <w:r>
        <w:t>cifico conto della natura dell’impegno professionale</w:t>
      </w:r>
      <w:r w:rsidR="00A64A14">
        <w:t>,</w:t>
      </w:r>
      <w:r>
        <w:t xml:space="preserve"> in relazione all’incidenza degli assunti rispetto alla posizione processuale della persona difesa. A tale proposito si evidenzia che il CNF ed il Ministero di Giustizia, </w:t>
      </w:r>
      <w:r w:rsidRPr="00BA5C93">
        <w:rPr>
          <w:u w:val="single"/>
        </w:rPr>
        <w:t>ha</w:t>
      </w:r>
      <w:r w:rsidR="00A64A14">
        <w:rPr>
          <w:u w:val="single"/>
        </w:rPr>
        <w:t>nno</w:t>
      </w:r>
      <w:r w:rsidRPr="00BA5C93">
        <w:rPr>
          <w:u w:val="single"/>
        </w:rPr>
        <w:t xml:space="preserve"> </w:t>
      </w:r>
      <w:r w:rsidR="00BA5C93" w:rsidRPr="00BA5C93">
        <w:rPr>
          <w:u w:val="single"/>
        </w:rPr>
        <w:t>ri</w:t>
      </w:r>
      <w:r w:rsidRPr="00BA5C93">
        <w:rPr>
          <w:u w:val="single"/>
        </w:rPr>
        <w:t>aperto un tavolo di confronto sul tema</w:t>
      </w:r>
      <w:r w:rsidR="00BA5C93">
        <w:rPr>
          <w:u w:val="single"/>
        </w:rPr>
        <w:t>,</w:t>
      </w:r>
      <w:r w:rsidR="00BA5C93" w:rsidRPr="006A6296">
        <w:t xml:space="preserve"> </w:t>
      </w:r>
      <w:r w:rsidR="00A64A14">
        <w:t xml:space="preserve">ove </w:t>
      </w:r>
      <w:r>
        <w:t>partecipa</w:t>
      </w:r>
      <w:r w:rsidR="00BA5C93">
        <w:t xml:space="preserve"> attivamente anche</w:t>
      </w:r>
      <w:r>
        <w:t xml:space="preserve"> l’Avv. Rosanna </w:t>
      </w:r>
      <w:proofErr w:type="spellStart"/>
      <w:r>
        <w:t>Beifiori</w:t>
      </w:r>
      <w:proofErr w:type="spellEnd"/>
      <w:r>
        <w:t xml:space="preserve"> del Foro di Reggio Emilia.</w:t>
      </w:r>
    </w:p>
    <w:p w:rsidR="00A36278" w:rsidRDefault="00416E24" w:rsidP="00416E24">
      <w:pPr>
        <w:pStyle w:val="Paragrafoelenco"/>
        <w:numPr>
          <w:ilvl w:val="0"/>
          <w:numId w:val="1"/>
        </w:numPr>
        <w:jc w:val="both"/>
      </w:pPr>
      <w:r w:rsidRPr="00A81B81">
        <w:rPr>
          <w:b/>
        </w:rPr>
        <w:t>RIDUZIONE COSTI DELLA GIUSTIZIA</w:t>
      </w:r>
      <w:r w:rsidR="00A36278">
        <w:t xml:space="preserve">:  sono state approvate anche le mozioni sulla riduzione dei costi  della giustizia civile e amministrativa, visto </w:t>
      </w:r>
      <w:r w:rsidR="00A64A14">
        <w:t>(</w:t>
      </w:r>
      <w:r w:rsidR="00A36278">
        <w:t xml:space="preserve">1) da un lato lo stato di crisi e di depauperamento dei livelli reddituali dei professionisti, anche in base a scelte politiche che </w:t>
      </w:r>
      <w:r w:rsidR="006A6296">
        <w:t xml:space="preserve">- </w:t>
      </w:r>
      <w:r w:rsidR="00A36278">
        <w:t>in nome della “libera concorrenza”</w:t>
      </w:r>
      <w:r w:rsidR="006A6296">
        <w:t xml:space="preserve"> -</w:t>
      </w:r>
      <w:r w:rsidR="00A36278">
        <w:t xml:space="preserve"> hanno esposto il professionista alla </w:t>
      </w:r>
      <w:proofErr w:type="spellStart"/>
      <w:r w:rsidR="00A36278">
        <w:t>mercè</w:t>
      </w:r>
      <w:proofErr w:type="spellEnd"/>
      <w:r w:rsidR="00A36278">
        <w:t xml:space="preserve"> di spietate logiche di mercato, </w:t>
      </w:r>
      <w:r w:rsidR="00A64A14">
        <w:t>(</w:t>
      </w:r>
      <w:r w:rsidR="00A36278">
        <w:t xml:space="preserve">2) dall’altro i costi (le spese vive di contributo unificato e quant’altro) gravano sui clienti incidendo ormai tantissimo sui loro redditi, </w:t>
      </w:r>
      <w:r w:rsidR="00A36278" w:rsidRPr="00A64A14">
        <w:rPr>
          <w:u w:val="single"/>
        </w:rPr>
        <w:t>per cui in assenza di liquidità molti privati rinunciano a far valere i loro diritti in giudizio</w:t>
      </w:r>
      <w:r w:rsidR="00A36278">
        <w:t xml:space="preserve">. La riduzione </w:t>
      </w:r>
      <w:r w:rsidR="00A64A14">
        <w:t>delle spese di giustizia trova un fondamento ne</w:t>
      </w:r>
      <w:r w:rsidR="00A36278">
        <w:t>ll’art. 24 della Costituzione</w:t>
      </w:r>
      <w:r w:rsidR="00A64A14">
        <w:t>, al fine di</w:t>
      </w:r>
      <w:r w:rsidR="00A36278">
        <w:t xml:space="preserve"> tornare a rend</w:t>
      </w:r>
      <w:r w:rsidR="00A64A14">
        <w:t xml:space="preserve">ere effettiva la possibilità, </w:t>
      </w:r>
      <w:r w:rsidR="00A64A14" w:rsidRPr="00A64A14">
        <w:rPr>
          <w:u w:val="single"/>
        </w:rPr>
        <w:t xml:space="preserve">per </w:t>
      </w:r>
      <w:r w:rsidR="00A36278" w:rsidRPr="00A64A14">
        <w:rPr>
          <w:u w:val="single"/>
        </w:rPr>
        <w:t>tutti</w:t>
      </w:r>
      <w:r w:rsidR="00A64A14">
        <w:t>,</w:t>
      </w:r>
      <w:r w:rsidR="00A36278">
        <w:t xml:space="preserve"> di agire in giudizio per la tutela dei propri diritti. </w:t>
      </w:r>
    </w:p>
    <w:p w:rsidR="006D6947" w:rsidRDefault="00A36278" w:rsidP="00A36278">
      <w:pPr>
        <w:pStyle w:val="Paragrafoelenco"/>
        <w:jc w:val="both"/>
      </w:pPr>
      <w:r w:rsidRPr="00A81B81">
        <w:rPr>
          <w:u w:val="single"/>
        </w:rPr>
        <w:t>CONTRIBUTO UNIFICATO</w:t>
      </w:r>
      <w:r w:rsidR="001D2742">
        <w:t xml:space="preserve"> (modifica art.9 DPR n. 115/2002 modificato da DPR 115/2011)</w:t>
      </w:r>
      <w:r>
        <w:t xml:space="preserve">: </w:t>
      </w:r>
      <w:r w:rsidR="00A64A14">
        <w:t xml:space="preserve">proposta di rendere </w:t>
      </w:r>
      <w:r w:rsidR="00A64A14" w:rsidRPr="00A64A14">
        <w:rPr>
          <w:u w:val="single"/>
        </w:rPr>
        <w:t>e</w:t>
      </w:r>
      <w:r w:rsidRPr="00A64A14">
        <w:rPr>
          <w:u w:val="single"/>
        </w:rPr>
        <w:t xml:space="preserve">senti </w:t>
      </w:r>
      <w:r w:rsidR="00A64A14">
        <w:rPr>
          <w:u w:val="single"/>
        </w:rPr>
        <w:t xml:space="preserve">da </w:t>
      </w:r>
      <w:r w:rsidRPr="00A64A14">
        <w:rPr>
          <w:u w:val="single"/>
        </w:rPr>
        <w:t>spese le controversie di valore inferiore ad € 5.000,00</w:t>
      </w:r>
      <w:r w:rsidR="003C3F84">
        <w:rPr>
          <w:u w:val="single"/>
        </w:rPr>
        <w:t>,</w:t>
      </w:r>
      <w:r w:rsidR="00A64A14">
        <w:t xml:space="preserve"> ave</w:t>
      </w:r>
      <w:r>
        <w:t>nti ad oggetto il recupero crediti riguardan</w:t>
      </w:r>
      <w:r w:rsidR="00A64A14">
        <w:t>ti compensi con accessori di le</w:t>
      </w:r>
      <w:r>
        <w:t>gge,</w:t>
      </w:r>
      <w:r w:rsidR="003C3F84">
        <w:t xml:space="preserve"> oltre ad</w:t>
      </w:r>
      <w:r>
        <w:t xml:space="preserve"> imposte rimborsi derivanti dall’</w:t>
      </w:r>
      <w:r w:rsidR="001D2742">
        <w:t>esercizio di un</w:t>
      </w:r>
      <w:r>
        <w:t>a</w:t>
      </w:r>
      <w:r w:rsidR="001D2742">
        <w:t xml:space="preserve"> </w:t>
      </w:r>
      <w:r>
        <w:t>libera professione ordinistica e per quelli individuali di lavoro o di rapporti di pubblico impiego</w:t>
      </w:r>
      <w:r w:rsidR="00A64A14">
        <w:t xml:space="preserve">, </w:t>
      </w:r>
      <w:r w:rsidR="00A64A14">
        <w:lastRenderedPageBreak/>
        <w:t>per soggetti</w:t>
      </w:r>
      <w:r>
        <w:t xml:space="preserve"> titolari di reddito imponibile ai fini di imposta di reddito dell’ultima dichiarazione di redditi superiore  a tre volte l’importo previsto dall’art. 76.</w:t>
      </w:r>
      <w:r w:rsidR="006D6947">
        <w:t xml:space="preserve"> </w:t>
      </w:r>
    </w:p>
    <w:p w:rsidR="001D2742" w:rsidRDefault="001D2742" w:rsidP="00A36278">
      <w:pPr>
        <w:pStyle w:val="Paragrafoelenco"/>
        <w:jc w:val="both"/>
      </w:pPr>
      <w:r w:rsidRPr="00A81B81">
        <w:rPr>
          <w:u w:val="single"/>
        </w:rPr>
        <w:t>GIUDIZI</w:t>
      </w:r>
      <w:r w:rsidR="00A81B81" w:rsidRPr="00A81B81">
        <w:rPr>
          <w:u w:val="single"/>
        </w:rPr>
        <w:t>O</w:t>
      </w:r>
      <w:r w:rsidRPr="00A81B81">
        <w:rPr>
          <w:u w:val="single"/>
        </w:rPr>
        <w:t xml:space="preserve"> DI LAVORO</w:t>
      </w:r>
      <w:r>
        <w:t xml:space="preserve">: si è proposto l’esonero da ogni spesa e tassa in questi giudizi (modifica L. 319/1958 unico articolo). </w:t>
      </w:r>
    </w:p>
    <w:p w:rsidR="001D2742" w:rsidRDefault="001D2742" w:rsidP="00A36278">
      <w:pPr>
        <w:pStyle w:val="Paragrafoelenco"/>
        <w:jc w:val="both"/>
      </w:pPr>
      <w:r>
        <w:t>Con mandato del CNF e dell’OCF di porre in essere ogni necessaria iniziativa per intervenire in ogni sede competente ai fini di attuare il deliberato congressuale.</w:t>
      </w:r>
    </w:p>
    <w:p w:rsidR="001D2742" w:rsidRDefault="001D2742" w:rsidP="00A36278">
      <w:pPr>
        <w:pStyle w:val="Paragrafoelenco"/>
        <w:jc w:val="both"/>
      </w:pPr>
    </w:p>
    <w:p w:rsidR="00F20E85" w:rsidRDefault="001D2742" w:rsidP="001D2742">
      <w:pPr>
        <w:pStyle w:val="Paragrafoelenco"/>
        <w:numPr>
          <w:ilvl w:val="0"/>
          <w:numId w:val="1"/>
        </w:numPr>
        <w:jc w:val="both"/>
      </w:pPr>
      <w:r w:rsidRPr="00A81B81">
        <w:rPr>
          <w:b/>
        </w:rPr>
        <w:t>SOSPENSIONE FERIALE</w:t>
      </w:r>
      <w:r w:rsidR="00A81B81" w:rsidRPr="00A81B81">
        <w:rPr>
          <w:b/>
        </w:rPr>
        <w:t xml:space="preserve"> DEI </w:t>
      </w:r>
      <w:proofErr w:type="gramStart"/>
      <w:r w:rsidR="00A81B81" w:rsidRPr="00A81B81">
        <w:rPr>
          <w:b/>
        </w:rPr>
        <w:t>TERMINI</w:t>
      </w:r>
      <w:r>
        <w:t xml:space="preserve"> :</w:t>
      </w:r>
      <w:proofErr w:type="gramEnd"/>
      <w:r>
        <w:t xml:space="preserve"> è stata approvata</w:t>
      </w:r>
      <w:r w:rsidR="00CB075E">
        <w:t xml:space="preserve"> per acclamazione la mozione che chiede</w:t>
      </w:r>
      <w:r>
        <w:t xml:space="preserve"> </w:t>
      </w:r>
      <w:r w:rsidR="00CB075E">
        <w:t>il ripristino de</w:t>
      </w:r>
      <w:r>
        <w:t xml:space="preserve">l periodo feriale dal 1° agosto al 15 settembre (ridotta dall’anno 2015 dal 1° agosto al 31 agosto), in quanto lo smaltimento del contenzioso arretrato non è legato alla riduzione del termine di sospensione feriale, né </w:t>
      </w:r>
      <w:r w:rsidR="00CB075E">
        <w:t xml:space="preserve">tale decurtazione dei termini </w:t>
      </w:r>
      <w:r>
        <w:t>comporta la minor durata dei processi.</w:t>
      </w:r>
    </w:p>
    <w:p w:rsidR="00F20E85" w:rsidRDefault="00F20E85" w:rsidP="001D2742">
      <w:pPr>
        <w:pStyle w:val="Paragrafoelenco"/>
        <w:numPr>
          <w:ilvl w:val="0"/>
          <w:numId w:val="1"/>
        </w:numPr>
        <w:jc w:val="both"/>
      </w:pPr>
      <w:r w:rsidRPr="00A81B81">
        <w:rPr>
          <w:b/>
        </w:rPr>
        <w:t>DIRITTO DI FAMIGLIA</w:t>
      </w:r>
      <w:r>
        <w:t xml:space="preserve">: sono state approvate le mozioni: </w:t>
      </w:r>
    </w:p>
    <w:p w:rsidR="00F20E85" w:rsidRDefault="00F20E85" w:rsidP="00F20E85">
      <w:pPr>
        <w:pStyle w:val="Paragrafoelenco"/>
        <w:numPr>
          <w:ilvl w:val="0"/>
          <w:numId w:val="2"/>
        </w:numPr>
        <w:jc w:val="both"/>
      </w:pPr>
      <w:r>
        <w:t>a tutela del difensore di ufficio e della retribuzione di quest’ultimo in materia di diritto di famiglia e nei procedimenti di adottabilità dei minori</w:t>
      </w:r>
    </w:p>
    <w:p w:rsidR="00A82FED" w:rsidRPr="003A2507" w:rsidRDefault="00F20E85" w:rsidP="00F20E85">
      <w:pPr>
        <w:pStyle w:val="Paragrafoelenco"/>
        <w:numPr>
          <w:ilvl w:val="0"/>
          <w:numId w:val="2"/>
        </w:numPr>
        <w:jc w:val="both"/>
      </w:pPr>
      <w:r>
        <w:t>il diritto delle relazioni familiari, anche all’interno del processo in modo che siano permeati e caratterizzati nel rispetto delle peculiarità dei soggetti tutelati (mogli</w:t>
      </w:r>
      <w:r w:rsidR="0041555B">
        <w:t>e</w:t>
      </w:r>
      <w:r>
        <w:t>, marito, minori) senza il ricorso a soluzioni sta</w:t>
      </w:r>
      <w:r w:rsidR="00364F1F">
        <w:t>n</w:t>
      </w:r>
      <w:r>
        <w:t>dard identiche per tutti, ma riconoscendo il potere del Giudice di diversificare cas</w:t>
      </w:r>
      <w:r w:rsidR="00364F1F">
        <w:t>o</w:t>
      </w:r>
      <w:r>
        <w:t xml:space="preserve"> per caso contemperando </w:t>
      </w:r>
      <w:r w:rsidR="00A82FED">
        <w:t>gli interessi in gioco nella formula più vicina all’interesse del minore</w:t>
      </w:r>
      <w:r w:rsidR="00364F1F">
        <w:t xml:space="preserve"> (con obbligo per il Giudice di motivare la scelte relative a questo tipo di rapporti relazionali, in particolare nel caso di affidamento dei minori)</w:t>
      </w:r>
      <w:r w:rsidR="00FB297E">
        <w:t>;</w:t>
      </w:r>
    </w:p>
    <w:p w:rsidR="003A2507" w:rsidRPr="00140AFC" w:rsidRDefault="003A2507" w:rsidP="003A2507">
      <w:pPr>
        <w:pStyle w:val="Paragrafoelenco"/>
        <w:numPr>
          <w:ilvl w:val="0"/>
          <w:numId w:val="2"/>
        </w:numPr>
        <w:jc w:val="both"/>
      </w:pPr>
      <w:r w:rsidRPr="003A2507">
        <w:t xml:space="preserve">Affidamento condiviso: anche la normativa sull’affidamento condiviso </w:t>
      </w:r>
      <w:r>
        <w:t xml:space="preserve">riceve un’applicazione “in astratto”, non sempre in linea con la specificità del caso concreto e con le esigenze (educative e relazionali) dei minori.  </w:t>
      </w:r>
      <w:r w:rsidRPr="00140AFC">
        <w:t xml:space="preserve"> Si è chiesto </w:t>
      </w:r>
      <w:r w:rsidR="00140AFC" w:rsidRPr="00140AFC">
        <w:t xml:space="preserve">di intervenire </w:t>
      </w:r>
      <w:proofErr w:type="spellStart"/>
      <w:r w:rsidR="00140AFC" w:rsidRPr="00140AFC">
        <w:t>affinchè</w:t>
      </w:r>
      <w:proofErr w:type="spellEnd"/>
      <w:r w:rsidRPr="00140AFC">
        <w:t xml:space="preserve"> il Giudice</w:t>
      </w:r>
      <w:r w:rsidR="00140AFC" w:rsidRPr="00140AFC">
        <w:t xml:space="preserve"> -</w:t>
      </w:r>
      <w:r w:rsidRPr="00140AFC">
        <w:t>nell’applicare la normativa in materia di affidamento del minore</w:t>
      </w:r>
      <w:r w:rsidR="00140AFC" w:rsidRPr="00140AFC">
        <w:t xml:space="preserve"> –</w:t>
      </w:r>
      <w:r w:rsidRPr="00140AFC">
        <w:t xml:space="preserve"> </w:t>
      </w:r>
      <w:r w:rsidR="00140AFC" w:rsidRPr="00140AFC">
        <w:t>si</w:t>
      </w:r>
      <w:r w:rsidR="0041555B">
        <w:t>a</w:t>
      </w:r>
      <w:r w:rsidR="00140AFC" w:rsidRPr="00140AFC">
        <w:t xml:space="preserve"> obbligato a dare una motivazione specifica in relazione alla situazione concreta e relazionale ed alle esigenze del minore, effettiv</w:t>
      </w:r>
      <w:r w:rsidR="0041555B">
        <w:t>o</w:t>
      </w:r>
      <w:r w:rsidR="00140AFC" w:rsidRPr="00140AFC">
        <w:t xml:space="preserve"> destinatari</w:t>
      </w:r>
      <w:r w:rsidR="0041555B">
        <w:t>o</w:t>
      </w:r>
      <w:r w:rsidR="00140AFC" w:rsidRPr="00140AFC">
        <w:t xml:space="preserve"> del provvedimento, evitando “</w:t>
      </w:r>
      <w:proofErr w:type="spellStart"/>
      <w:r w:rsidR="00140AFC" w:rsidRPr="00140AFC">
        <w:t>soluzioni</w:t>
      </w:r>
      <w:proofErr w:type="spellEnd"/>
      <w:r w:rsidR="00FB297E">
        <w:t xml:space="preserve"> </w:t>
      </w:r>
      <w:r w:rsidR="00140AFC" w:rsidRPr="00140AFC">
        <w:t>standard”, identiche per tutti.</w:t>
      </w:r>
    </w:p>
    <w:p w:rsidR="00A82FED" w:rsidRDefault="00A82FED" w:rsidP="00F20E85">
      <w:pPr>
        <w:pStyle w:val="Paragrafoelenco"/>
        <w:numPr>
          <w:ilvl w:val="0"/>
          <w:numId w:val="2"/>
        </w:numPr>
        <w:jc w:val="both"/>
      </w:pPr>
      <w:r>
        <w:t xml:space="preserve">negoziazione assistita estesa ai procedimenti aventi ad oggetto </w:t>
      </w:r>
      <w:r w:rsidR="00CF7F24">
        <w:t>la</w:t>
      </w:r>
      <w:r>
        <w:t xml:space="preserve"> responsabilità genitoriale, a prescindere dal rapporto esistente tra i genitori. </w:t>
      </w:r>
    </w:p>
    <w:p w:rsidR="00A82FED" w:rsidRDefault="00A82FED" w:rsidP="00F20E85">
      <w:pPr>
        <w:pStyle w:val="Paragrafoelenco"/>
        <w:numPr>
          <w:ilvl w:val="0"/>
          <w:numId w:val="2"/>
        </w:numPr>
        <w:jc w:val="both"/>
      </w:pPr>
      <w:r>
        <w:t>L’accordo di negoziazione avvenuta sia titolo per la trascrizione</w:t>
      </w:r>
    </w:p>
    <w:p w:rsidR="00A82FED" w:rsidRDefault="00A82FED" w:rsidP="00F20E85">
      <w:pPr>
        <w:pStyle w:val="Paragrafoelenco"/>
        <w:numPr>
          <w:ilvl w:val="0"/>
          <w:numId w:val="2"/>
        </w:numPr>
        <w:jc w:val="both"/>
      </w:pPr>
      <w:r>
        <w:t xml:space="preserve">Facilitazioni per l’accesso alla giustizia per il contrasto alla violenza di genere: </w:t>
      </w:r>
      <w:r w:rsidR="009F1495">
        <w:t>esonero del</w:t>
      </w:r>
      <w:r>
        <w:t xml:space="preserve"> contributo unificato</w:t>
      </w:r>
      <w:r w:rsidR="009F1495">
        <w:t>;</w:t>
      </w:r>
      <w:r>
        <w:t xml:space="preserve"> </w:t>
      </w:r>
      <w:r w:rsidR="009F1495">
        <w:t>eliminazione e/</w:t>
      </w:r>
      <w:proofErr w:type="gramStart"/>
      <w:r w:rsidR="009F1495">
        <w:t>o  ampliamento</w:t>
      </w:r>
      <w:proofErr w:type="gramEnd"/>
      <w:r w:rsidR="009F1495">
        <w:t xml:space="preserve"> del termine di accesso al fondo vittime reati contro la violenza</w:t>
      </w:r>
      <w:r w:rsidR="00037EC5">
        <w:t>,</w:t>
      </w:r>
      <w:r w:rsidR="009F1495">
        <w:t xml:space="preserve"> sia per la vittima diretta sia per i figli orfani della stessa</w:t>
      </w:r>
      <w:r w:rsidR="00037EC5">
        <w:t>.</w:t>
      </w:r>
    </w:p>
    <w:p w:rsidR="009F1495" w:rsidRDefault="009F1495" w:rsidP="00F20E85">
      <w:pPr>
        <w:pStyle w:val="Paragrafoelenco"/>
        <w:numPr>
          <w:ilvl w:val="0"/>
          <w:numId w:val="2"/>
        </w:numPr>
        <w:jc w:val="both"/>
      </w:pPr>
      <w:r>
        <w:t>Per la controversie in materia della persona, relazione familiari e minorenni: si chiede un GIUDICE UNICO specializzato, che sia adibito esclusivamente alle funzioni assegnate (senza possibilità di delega); UNICO RITO: disciplinato in diverse fasi, ma non assoggettato a rigido sistema di preclusioni e decadenze, soprattutto per diritti indisponibili, con piena attuazione del</w:t>
      </w:r>
      <w:r w:rsidR="003343E4">
        <w:t xml:space="preserve"> contraddittorio, garanzie dife</w:t>
      </w:r>
      <w:r>
        <w:t>n</w:t>
      </w:r>
      <w:r w:rsidR="003343E4">
        <w:t>s</w:t>
      </w:r>
      <w:r>
        <w:t>ive di tutte le parti, impugnabilità dei provvedimenti – anche interinali – diritto alla prova; bifasi</w:t>
      </w:r>
      <w:r w:rsidR="00364F1F">
        <w:t>co, con prima fase cautelare di</w:t>
      </w:r>
      <w:r>
        <w:t>r</w:t>
      </w:r>
      <w:r w:rsidR="00364F1F">
        <w:t>e</w:t>
      </w:r>
      <w:r>
        <w:t xml:space="preserve">tta all’assunzione </w:t>
      </w:r>
      <w:r w:rsidR="00364F1F">
        <w:t>di provvedimenti provvisori ed urgenti reclamabili e una seconda fase di merito, con disciplina dei poteri officiosi al Giudice.</w:t>
      </w:r>
    </w:p>
    <w:p w:rsidR="00A81B81" w:rsidRDefault="00A81B81" w:rsidP="00C852E5">
      <w:pPr>
        <w:pStyle w:val="Paragrafoelenco"/>
        <w:numPr>
          <w:ilvl w:val="0"/>
          <w:numId w:val="1"/>
        </w:numPr>
        <w:jc w:val="both"/>
      </w:pPr>
      <w:r w:rsidRPr="003A2507">
        <w:rPr>
          <w:b/>
        </w:rPr>
        <w:t>AVVOCATO MONOCOMMITTENTE:</w:t>
      </w:r>
      <w:r>
        <w:t xml:space="preserve"> è stata approvata la mozione sull’avvocato </w:t>
      </w:r>
      <w:proofErr w:type="spellStart"/>
      <w:r>
        <w:t>monocommittente</w:t>
      </w:r>
      <w:proofErr w:type="spellEnd"/>
      <w:r w:rsidR="00A9121B">
        <w:t xml:space="preserve">, cioè dell’avvocato che svolge la sua prestazione professionale esclusivamente a favore di un unico committente (studio legale nelle sue varie forme, o studio professionale, ed è la formula di colui che fa l’avvocato e svolge la libera professione in uno studio dove i clienti non sono suoi ma del Dominus dello studio legale). Tale attività professionale che deve essere disciplinata attraverso la creazione di norme in grado di salvaguardare un livello minimo di tutele dei rispettivi diritti ed interessi del legale </w:t>
      </w:r>
      <w:r w:rsidR="00A9121B">
        <w:lastRenderedPageBreak/>
        <w:t>che svolge la propria prestazione per uno studio legale, salvaguardando i principi Costituzionali, in particolare, dell’indipendenza.</w:t>
      </w:r>
    </w:p>
    <w:p w:rsidR="00A9121B" w:rsidRDefault="00A9121B" w:rsidP="004158A6">
      <w:pPr>
        <w:pStyle w:val="Paragrafoelenco"/>
        <w:numPr>
          <w:ilvl w:val="0"/>
          <w:numId w:val="2"/>
        </w:numPr>
        <w:jc w:val="both"/>
      </w:pPr>
      <w:r>
        <w:t xml:space="preserve">Pattuizione di un onorario annuale proporzionato alla qualità del’apporto dell’avvocato che opera in </w:t>
      </w:r>
      <w:proofErr w:type="spellStart"/>
      <w:r>
        <w:t>monocomittenza</w:t>
      </w:r>
      <w:proofErr w:type="spellEnd"/>
      <w:r>
        <w:t xml:space="preserve">, su una base non inferiore </w:t>
      </w:r>
      <w:r w:rsidR="00C852E5">
        <w:t>(</w:t>
      </w:r>
      <w:r>
        <w:t>base annuale</w:t>
      </w:r>
      <w:r w:rsidR="00C852E5">
        <w:t>)</w:t>
      </w:r>
      <w:r>
        <w:t xml:space="preserve"> </w:t>
      </w:r>
      <w:r w:rsidRPr="00C852E5">
        <w:rPr>
          <w:u w:val="single"/>
        </w:rPr>
        <w:t>al doppio della pensione sociale</w:t>
      </w:r>
      <w:r>
        <w:t xml:space="preserve"> per avvocato con anzianità ed iscrizione all’albo </w:t>
      </w:r>
      <w:r w:rsidRPr="00C852E5">
        <w:rPr>
          <w:u w:val="single"/>
        </w:rPr>
        <w:t>non inferiore a 5 anni</w:t>
      </w:r>
      <w:r>
        <w:t xml:space="preserve"> ed al </w:t>
      </w:r>
      <w:r w:rsidRPr="00C852E5">
        <w:rPr>
          <w:u w:val="single"/>
        </w:rPr>
        <w:t>triplo della pensione sociale</w:t>
      </w:r>
      <w:r>
        <w:t xml:space="preserve"> per l’avvocato iscritto </w:t>
      </w:r>
      <w:r w:rsidRPr="00C852E5">
        <w:rPr>
          <w:u w:val="single"/>
        </w:rPr>
        <w:t xml:space="preserve">da almeno 5 anni, oltre iva, </w:t>
      </w:r>
      <w:proofErr w:type="spellStart"/>
      <w:r w:rsidRPr="00C852E5">
        <w:rPr>
          <w:u w:val="single"/>
        </w:rPr>
        <w:t>cpa</w:t>
      </w:r>
      <w:proofErr w:type="spellEnd"/>
      <w:r>
        <w:t>.</w:t>
      </w:r>
    </w:p>
    <w:p w:rsidR="00A9121B" w:rsidRDefault="00A9121B" w:rsidP="004158A6">
      <w:pPr>
        <w:pStyle w:val="Paragrafoelenco"/>
        <w:numPr>
          <w:ilvl w:val="0"/>
          <w:numId w:val="2"/>
        </w:numPr>
        <w:jc w:val="both"/>
      </w:pPr>
      <w:r>
        <w:t>Previsione del rimborso spese per la formazione professionale concordata con il committente, nonché ai costi di polizza assicurativa (art, 12, 1° co. L. 247/2012).</w:t>
      </w:r>
    </w:p>
    <w:p w:rsidR="00A9121B" w:rsidRDefault="00A9121B" w:rsidP="004158A6">
      <w:pPr>
        <w:pStyle w:val="Paragrafoelenco"/>
        <w:numPr>
          <w:ilvl w:val="0"/>
          <w:numId w:val="2"/>
        </w:numPr>
        <w:jc w:val="both"/>
      </w:pPr>
      <w:r>
        <w:t xml:space="preserve">Congruo periodo di preavviso per il recesso </w:t>
      </w:r>
      <w:r w:rsidR="008B1059">
        <w:t xml:space="preserve">a) </w:t>
      </w:r>
      <w:r>
        <w:t xml:space="preserve">recesso </w:t>
      </w:r>
      <w:proofErr w:type="spellStart"/>
      <w:proofErr w:type="gramStart"/>
      <w:r>
        <w:t>monocommittente</w:t>
      </w:r>
      <w:proofErr w:type="spellEnd"/>
      <w:r>
        <w:t xml:space="preserve"> :</w:t>
      </w:r>
      <w:proofErr w:type="gramEnd"/>
      <w:r>
        <w:t xml:space="preserve"> tre mesi per rapporti di durata sino a 5 anni e di 6 mesi per durata superiore; b) per il recesso</w:t>
      </w:r>
      <w:r w:rsidR="008B1059">
        <w:t xml:space="preserve"> collaboratore i termini sono ridotti alla metà.  Il mancato rispetto dei termini comporta l’obbligo del recedente di corrispondere una indennità (salvo diritto di recesso ex art. 1453 c.c.)</w:t>
      </w:r>
      <w:r w:rsidR="00C852E5">
        <w:t>;</w:t>
      </w:r>
    </w:p>
    <w:p w:rsidR="008B1059" w:rsidRDefault="008B1059" w:rsidP="004158A6">
      <w:pPr>
        <w:pStyle w:val="Paragrafoelenco"/>
        <w:numPr>
          <w:ilvl w:val="0"/>
          <w:numId w:val="2"/>
        </w:numPr>
        <w:jc w:val="both"/>
      </w:pPr>
      <w:r>
        <w:t>si dovrà tenere conto anche d</w:t>
      </w:r>
      <w:r w:rsidR="003343E4">
        <w:t>e</w:t>
      </w:r>
      <w:r>
        <w:t>llo stato di GRAVIDANZA, MALATTIA, INFORTUNIO</w:t>
      </w:r>
      <w:r w:rsidR="00B42A32">
        <w:t>.</w:t>
      </w:r>
    </w:p>
    <w:p w:rsidR="008B1059" w:rsidRDefault="008B1059" w:rsidP="004158A6">
      <w:pPr>
        <w:pStyle w:val="Paragrafoelenco"/>
        <w:numPr>
          <w:ilvl w:val="0"/>
          <w:numId w:val="2"/>
        </w:numPr>
        <w:jc w:val="both"/>
      </w:pPr>
      <w:r>
        <w:t xml:space="preserve">Sanciti gli obblighi dell’avvocato collaboratore e </w:t>
      </w:r>
      <w:proofErr w:type="spellStart"/>
      <w:r>
        <w:t>monocomittente</w:t>
      </w:r>
      <w:proofErr w:type="spellEnd"/>
      <w:r>
        <w:t xml:space="preserve"> (patto di non concorrenza, doveri di lealtà, probità, competenza, correttezza, trasparenza, riservatezza, segretezza sia nei confronti della clientela del committente sia nei confronti del committente medesimo).</w:t>
      </w:r>
    </w:p>
    <w:p w:rsidR="008B1059" w:rsidRDefault="008B1059" w:rsidP="004158A6">
      <w:pPr>
        <w:pStyle w:val="Paragrafoelenco"/>
        <w:numPr>
          <w:ilvl w:val="0"/>
          <w:numId w:val="2"/>
        </w:numPr>
        <w:jc w:val="both"/>
      </w:pPr>
      <w:r>
        <w:t>Tutela del Know -</w:t>
      </w:r>
      <w:proofErr w:type="spellStart"/>
      <w:r>
        <w:t>how</w:t>
      </w:r>
      <w:proofErr w:type="spellEnd"/>
      <w:r w:rsidR="00B42A32">
        <w:t xml:space="preserve"> </w:t>
      </w:r>
      <w:r>
        <w:t>(proprietà esclusiva del committente di atti giudiziari e non, contratti, appunti, verbali ecc.)</w:t>
      </w:r>
    </w:p>
    <w:p w:rsidR="008B1059" w:rsidRDefault="008B1059" w:rsidP="004158A6">
      <w:pPr>
        <w:pStyle w:val="Paragrafoelenco"/>
        <w:numPr>
          <w:ilvl w:val="0"/>
          <w:numId w:val="2"/>
        </w:numPr>
        <w:jc w:val="both"/>
      </w:pPr>
      <w:r>
        <w:t xml:space="preserve">Natura libero professionale dell’attività e del </w:t>
      </w:r>
      <w:proofErr w:type="gramStart"/>
      <w:r>
        <w:t>compenso</w:t>
      </w:r>
      <w:r w:rsidR="00C852E5">
        <w:t xml:space="preserve"> </w:t>
      </w:r>
      <w:r w:rsidR="00B42A32">
        <w:t>.</w:t>
      </w:r>
      <w:proofErr w:type="gramEnd"/>
    </w:p>
    <w:p w:rsidR="008B1059" w:rsidRDefault="008B1059" w:rsidP="00A81B81">
      <w:pPr>
        <w:pStyle w:val="Paragrafoelenco"/>
        <w:numPr>
          <w:ilvl w:val="0"/>
          <w:numId w:val="1"/>
        </w:numPr>
        <w:jc w:val="both"/>
        <w:rPr>
          <w:b/>
        </w:rPr>
      </w:pPr>
      <w:r w:rsidRPr="008B1059">
        <w:rPr>
          <w:b/>
        </w:rPr>
        <w:t>SOCIETA’ TRA AVVOCATI:</w:t>
      </w:r>
      <w:r>
        <w:rPr>
          <w:b/>
        </w:rPr>
        <w:t xml:space="preserve"> ESERCIZIO DELL’ATTIVITA’ PROFESSIONALE DI AVVOCATO ANCHE IN FORMA SOCIETARIA, </w:t>
      </w:r>
      <w:r w:rsidRPr="008B1059">
        <w:t>si devono tenere presenti i seguenti principi</w:t>
      </w:r>
      <w:r>
        <w:rPr>
          <w:b/>
        </w:rPr>
        <w:t>:</w:t>
      </w:r>
    </w:p>
    <w:p w:rsidR="008B1059" w:rsidRDefault="008B1059" w:rsidP="008B1059">
      <w:pPr>
        <w:pStyle w:val="Paragrafoelenco"/>
        <w:numPr>
          <w:ilvl w:val="0"/>
          <w:numId w:val="2"/>
        </w:numPr>
        <w:jc w:val="both"/>
      </w:pPr>
      <w:r w:rsidRPr="008B1059">
        <w:t>La previsione normativa relativa alle STA all’</w:t>
      </w:r>
      <w:r>
        <w:t xml:space="preserve"> originario criterio di partecipazione ai soli avvocati iscritti all’albo</w:t>
      </w:r>
    </w:p>
    <w:p w:rsidR="008B1059" w:rsidRDefault="008B1059" w:rsidP="008B1059">
      <w:pPr>
        <w:pStyle w:val="Paragrafoelenco"/>
        <w:numPr>
          <w:ilvl w:val="0"/>
          <w:numId w:val="2"/>
        </w:numPr>
        <w:jc w:val="both"/>
      </w:pPr>
      <w:r>
        <w:t>In ipotesi di previsione di soci di capitale si stabilisca l’incompatibilità del socio di capitale a rivestire la carica di amministratore nella STA</w:t>
      </w:r>
    </w:p>
    <w:p w:rsidR="008B1059" w:rsidRDefault="008B1059" w:rsidP="008B1059">
      <w:pPr>
        <w:pStyle w:val="Paragrafoelenco"/>
        <w:numPr>
          <w:ilvl w:val="0"/>
          <w:numId w:val="2"/>
        </w:numPr>
        <w:jc w:val="both"/>
      </w:pPr>
      <w:r>
        <w:t>Si preveda la regolamentazione della STA con linee guida</w:t>
      </w:r>
    </w:p>
    <w:p w:rsidR="008B1059" w:rsidRDefault="008B1059" w:rsidP="008B1059">
      <w:pPr>
        <w:pStyle w:val="Paragrafoelenco"/>
        <w:numPr>
          <w:ilvl w:val="0"/>
          <w:numId w:val="2"/>
        </w:numPr>
        <w:jc w:val="both"/>
      </w:pPr>
      <w:r>
        <w:t>Si stabilisca con chiarezza il regime fiscale da adottare</w:t>
      </w:r>
    </w:p>
    <w:p w:rsidR="008B1059" w:rsidRPr="008B1059" w:rsidRDefault="008B1059" w:rsidP="008B1059">
      <w:pPr>
        <w:pStyle w:val="Paragrafoelenco"/>
        <w:numPr>
          <w:ilvl w:val="0"/>
          <w:numId w:val="2"/>
        </w:numPr>
        <w:jc w:val="both"/>
      </w:pPr>
      <w:r>
        <w:t>Si preved</w:t>
      </w:r>
      <w:r w:rsidR="00C852E5">
        <w:t>a</w:t>
      </w:r>
      <w:r>
        <w:t>no benefici fiscali per la giovane avvocatura che intenda costituire STA nelle forme delle società semplici.</w:t>
      </w:r>
      <w:r w:rsidRPr="008B1059">
        <w:t xml:space="preserve"> </w:t>
      </w:r>
    </w:p>
    <w:p w:rsidR="00560B04" w:rsidRDefault="00D85842" w:rsidP="00A81B81">
      <w:pPr>
        <w:pStyle w:val="Paragrafoelenco"/>
        <w:numPr>
          <w:ilvl w:val="0"/>
          <w:numId w:val="1"/>
        </w:numPr>
        <w:jc w:val="both"/>
      </w:pPr>
      <w:r w:rsidRPr="00A81B81">
        <w:rPr>
          <w:b/>
        </w:rPr>
        <w:t xml:space="preserve">NATURA </w:t>
      </w:r>
      <w:r w:rsidR="00DC2891" w:rsidRPr="00A81B81">
        <w:rPr>
          <w:b/>
        </w:rPr>
        <w:t xml:space="preserve">GIURIDICA </w:t>
      </w:r>
      <w:r w:rsidRPr="00A81B81">
        <w:rPr>
          <w:b/>
        </w:rPr>
        <w:t>DEL C</w:t>
      </w:r>
      <w:r w:rsidR="00DC2891" w:rsidRPr="00A81B81">
        <w:rPr>
          <w:b/>
        </w:rPr>
        <w:t xml:space="preserve">ONSIGLIO </w:t>
      </w:r>
      <w:r w:rsidRPr="00A81B81">
        <w:rPr>
          <w:b/>
        </w:rPr>
        <w:t>O</w:t>
      </w:r>
      <w:r w:rsidR="00DC2891" w:rsidRPr="00A81B81">
        <w:rPr>
          <w:b/>
        </w:rPr>
        <w:t>RDINE AVVOCATI:</w:t>
      </w:r>
      <w:r w:rsidR="00DC2891">
        <w:t xml:space="preserve"> dalle mozioni approvate è stata individuata una linea che contemperi la natura del COA quale Pubblica Amministrazione, ma che consideri anche che si tratta di un Ente con una certa autonomi</w:t>
      </w:r>
      <w:r w:rsidR="001A1E04">
        <w:t xml:space="preserve">a, che riguarda professionisti </w:t>
      </w:r>
      <w:r w:rsidR="00DC2891">
        <w:t xml:space="preserve">con proprie regole deontologiche, per cui è necessario un contemperamento con le norme rigidamente applicabili sia dall’anti trust che </w:t>
      </w:r>
      <w:r w:rsidR="00560B04">
        <w:t>dall’ANAC (Autorità Nazionale Anticorruzione).</w:t>
      </w:r>
    </w:p>
    <w:p w:rsidR="00560B04" w:rsidRDefault="00560B04" w:rsidP="00560B04">
      <w:pPr>
        <w:pStyle w:val="Paragrafoelenco"/>
        <w:jc w:val="both"/>
      </w:pPr>
      <w:r>
        <w:rPr>
          <w:b/>
        </w:rPr>
        <w:t>Si è convenuto (per acclamazione) quanto segue:</w:t>
      </w:r>
    </w:p>
    <w:p w:rsidR="00560B04" w:rsidRDefault="00560B04" w:rsidP="00560B04">
      <w:pPr>
        <w:pStyle w:val="Paragrafoelenco"/>
        <w:numPr>
          <w:ilvl w:val="0"/>
          <w:numId w:val="2"/>
        </w:numPr>
        <w:jc w:val="both"/>
      </w:pPr>
      <w:r>
        <w:t>Rimarcare la NATURA PUBBLICA ma NON STATALE degli Ordini Forensi</w:t>
      </w:r>
    </w:p>
    <w:p w:rsidR="00560B04" w:rsidRDefault="00560B04" w:rsidP="00560B04">
      <w:pPr>
        <w:pStyle w:val="Paragrafoelenco"/>
        <w:numPr>
          <w:ilvl w:val="0"/>
          <w:numId w:val="2"/>
        </w:numPr>
        <w:jc w:val="both"/>
      </w:pPr>
      <w:r>
        <w:t>Precisare che</w:t>
      </w:r>
      <w:r w:rsidR="00A35D0F">
        <w:t>,</w:t>
      </w:r>
      <w:r>
        <w:t xml:space="preserve"> in ragione della funzione di rappresentanza delle collettività professionali, gli Ordini forensi devono godere di una autonomia sostanziale e non formale</w:t>
      </w:r>
    </w:p>
    <w:p w:rsidR="00560B04" w:rsidRDefault="00560B04" w:rsidP="00560B04">
      <w:pPr>
        <w:pStyle w:val="Paragrafoelenco"/>
        <w:numPr>
          <w:ilvl w:val="0"/>
          <w:numId w:val="2"/>
        </w:numPr>
        <w:jc w:val="both"/>
      </w:pPr>
      <w:r>
        <w:t>Valorizzare la specialità e l’inclusione degli Ordini Forensi tra le formazioni sociali protette dalla Costituzione</w:t>
      </w:r>
    </w:p>
    <w:p w:rsidR="00D85842" w:rsidRDefault="00560B04" w:rsidP="00560B04">
      <w:pPr>
        <w:pStyle w:val="Paragrafoelenco"/>
        <w:numPr>
          <w:ilvl w:val="0"/>
          <w:numId w:val="2"/>
        </w:numPr>
        <w:jc w:val="both"/>
      </w:pPr>
      <w:r>
        <w:t>Sottrarre gli Ordini forensi alle ingerenze sempre più invasive di alcune autorità indipendenti (es. sottrarre il procedimento disciplinare in ambito forense al si</w:t>
      </w:r>
      <w:r w:rsidR="00A35D0F">
        <w:t>n</w:t>
      </w:r>
      <w:r>
        <w:t>dacato dell’Autorità Garante della Concorrenza e del Mercato</w:t>
      </w:r>
      <w:r w:rsidR="004F7F40">
        <w:t>)</w:t>
      </w:r>
      <w:bookmarkStart w:id="0" w:name="_GoBack"/>
      <w:bookmarkEnd w:id="0"/>
      <w:r>
        <w:t>.</w:t>
      </w:r>
    </w:p>
    <w:p w:rsidR="002079EC" w:rsidRDefault="001A1E04" w:rsidP="003A2507">
      <w:pPr>
        <w:ind w:left="720"/>
        <w:jc w:val="both"/>
      </w:pPr>
      <w:r>
        <w:lastRenderedPageBreak/>
        <w:t>Il presente report è soltanto un riassunto delle fasi salienti del Congresso Nazionale Forense</w:t>
      </w:r>
      <w:r w:rsidR="003A2507">
        <w:t xml:space="preserve"> di Catania</w:t>
      </w:r>
      <w:r>
        <w:t xml:space="preserve"> e delle decisioni più importanti</w:t>
      </w:r>
      <w:r w:rsidR="003A2507">
        <w:t>, assunte dall’Avvocatura. S</w:t>
      </w:r>
      <w:r>
        <w:t>i trasmette anche tutto l’elenco delle mozioni approvate ed il loro contenuto, per chi voglia effettuare un ulteriore approfondimento.</w:t>
      </w:r>
    </w:p>
    <w:p w:rsidR="001A1E04" w:rsidRDefault="001A1E04" w:rsidP="001A1E04">
      <w:pPr>
        <w:ind w:left="720"/>
        <w:jc w:val="both"/>
      </w:pPr>
      <w:r>
        <w:t>Cordiali saluti. Raffaella Pellini</w:t>
      </w:r>
    </w:p>
    <w:p w:rsidR="001A1E04" w:rsidRDefault="001A1E04" w:rsidP="001A1E04">
      <w:pPr>
        <w:ind w:left="720"/>
        <w:jc w:val="both"/>
      </w:pPr>
    </w:p>
    <w:sectPr w:rsidR="001A1E04" w:rsidSect="001C3F7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4C3" w:rsidRDefault="00C664C3" w:rsidP="00C664C3">
      <w:pPr>
        <w:spacing w:after="0" w:line="240" w:lineRule="auto"/>
      </w:pPr>
      <w:r>
        <w:separator/>
      </w:r>
    </w:p>
  </w:endnote>
  <w:endnote w:type="continuationSeparator" w:id="0">
    <w:p w:rsidR="00C664C3" w:rsidRDefault="00C664C3" w:rsidP="00C6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4C3" w:rsidRDefault="00C664C3" w:rsidP="00C664C3">
    <w:pPr>
      <w:pStyle w:val="Pidipagina"/>
      <w:jc w:val="right"/>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rsidR="00C664C3" w:rsidRDefault="00C664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4C3" w:rsidRDefault="00C664C3" w:rsidP="00C664C3">
      <w:pPr>
        <w:spacing w:after="0" w:line="240" w:lineRule="auto"/>
      </w:pPr>
      <w:r>
        <w:separator/>
      </w:r>
    </w:p>
  </w:footnote>
  <w:footnote w:type="continuationSeparator" w:id="0">
    <w:p w:rsidR="00C664C3" w:rsidRDefault="00C664C3" w:rsidP="00C66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A0"/>
    <w:multiLevelType w:val="hybridMultilevel"/>
    <w:tmpl w:val="8B9A2192"/>
    <w:lvl w:ilvl="0" w:tplc="274022EE">
      <w:start w:val="1"/>
      <w:numFmt w:val="bullet"/>
      <w:lvlText w:val="-"/>
      <w:lvlJc w:val="left"/>
      <w:pPr>
        <w:ind w:left="1080" w:hanging="360"/>
      </w:pPr>
      <w:rPr>
        <w:rFonts w:ascii="Calibri" w:eastAsiaTheme="minorHAnsi" w:hAnsi="Calibri" w:cs="Calibri"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F0A5E95"/>
    <w:multiLevelType w:val="hybridMultilevel"/>
    <w:tmpl w:val="5B38FCA2"/>
    <w:lvl w:ilvl="0" w:tplc="D8F8415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51753CCD"/>
    <w:multiLevelType w:val="hybridMultilevel"/>
    <w:tmpl w:val="16CE38E4"/>
    <w:lvl w:ilvl="0" w:tplc="D29A0AE4">
      <w:start w:val="9"/>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68746808"/>
    <w:multiLevelType w:val="hybridMultilevel"/>
    <w:tmpl w:val="AB962BBA"/>
    <w:lvl w:ilvl="0" w:tplc="CD7E053A">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EC"/>
    <w:rsid w:val="00037EC5"/>
    <w:rsid w:val="00071DF3"/>
    <w:rsid w:val="00140AFC"/>
    <w:rsid w:val="001A1E04"/>
    <w:rsid w:val="001C3F72"/>
    <w:rsid w:val="001D2742"/>
    <w:rsid w:val="002079EC"/>
    <w:rsid w:val="002303B3"/>
    <w:rsid w:val="00242892"/>
    <w:rsid w:val="0032018A"/>
    <w:rsid w:val="00323C66"/>
    <w:rsid w:val="003343E4"/>
    <w:rsid w:val="00364F1F"/>
    <w:rsid w:val="003A2507"/>
    <w:rsid w:val="003C3F84"/>
    <w:rsid w:val="003D42B6"/>
    <w:rsid w:val="0041555B"/>
    <w:rsid w:val="004158A6"/>
    <w:rsid w:val="00416E24"/>
    <w:rsid w:val="004C38C9"/>
    <w:rsid w:val="004F7F40"/>
    <w:rsid w:val="0054628C"/>
    <w:rsid w:val="00560B04"/>
    <w:rsid w:val="00590999"/>
    <w:rsid w:val="006A6296"/>
    <w:rsid w:val="006D6947"/>
    <w:rsid w:val="0075168B"/>
    <w:rsid w:val="007669A2"/>
    <w:rsid w:val="00782E9B"/>
    <w:rsid w:val="007A42B5"/>
    <w:rsid w:val="00821C94"/>
    <w:rsid w:val="008B1059"/>
    <w:rsid w:val="009F1495"/>
    <w:rsid w:val="00A155E7"/>
    <w:rsid w:val="00A35D0F"/>
    <w:rsid w:val="00A36278"/>
    <w:rsid w:val="00A64A14"/>
    <w:rsid w:val="00A81B81"/>
    <w:rsid w:val="00A82FED"/>
    <w:rsid w:val="00A9121B"/>
    <w:rsid w:val="00B108A6"/>
    <w:rsid w:val="00B42A32"/>
    <w:rsid w:val="00BA5C93"/>
    <w:rsid w:val="00BA7B77"/>
    <w:rsid w:val="00BC0C3F"/>
    <w:rsid w:val="00C44038"/>
    <w:rsid w:val="00C664C3"/>
    <w:rsid w:val="00C852E5"/>
    <w:rsid w:val="00CB075E"/>
    <w:rsid w:val="00CF7F24"/>
    <w:rsid w:val="00D85842"/>
    <w:rsid w:val="00DC2891"/>
    <w:rsid w:val="00E67F81"/>
    <w:rsid w:val="00E950C9"/>
    <w:rsid w:val="00F20E85"/>
    <w:rsid w:val="00FB2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C528"/>
  <w15:docId w15:val="{5FEC33FE-BA21-4BD1-BD89-ADBD1C5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3F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79EC"/>
    <w:pPr>
      <w:ind w:left="720"/>
      <w:contextualSpacing/>
    </w:pPr>
  </w:style>
  <w:style w:type="paragraph" w:styleId="Testofumetto">
    <w:name w:val="Balloon Text"/>
    <w:basedOn w:val="Normale"/>
    <w:link w:val="TestofumettoCarattere"/>
    <w:uiPriority w:val="99"/>
    <w:semiHidden/>
    <w:unhideWhenUsed/>
    <w:rsid w:val="005462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628C"/>
    <w:rPr>
      <w:rFonts w:ascii="Segoe UI" w:hAnsi="Segoe UI" w:cs="Segoe UI"/>
      <w:sz w:val="18"/>
      <w:szCs w:val="18"/>
    </w:rPr>
  </w:style>
  <w:style w:type="paragraph" w:styleId="Intestazione">
    <w:name w:val="header"/>
    <w:basedOn w:val="Normale"/>
    <w:link w:val="IntestazioneCarattere"/>
    <w:uiPriority w:val="99"/>
    <w:unhideWhenUsed/>
    <w:rsid w:val="00C664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4C3"/>
  </w:style>
  <w:style w:type="paragraph" w:styleId="Pidipagina">
    <w:name w:val="footer"/>
    <w:basedOn w:val="Normale"/>
    <w:link w:val="PidipaginaCarattere"/>
    <w:uiPriority w:val="99"/>
    <w:unhideWhenUsed/>
    <w:rsid w:val="00C664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4CFD-F31D-4788-980F-CA3F55C8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2199</Words>
  <Characters>12539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Pellini</dc:creator>
  <cp:lastModifiedBy>utente1</cp:lastModifiedBy>
  <cp:revision>15</cp:revision>
  <cp:lastPrinted>2018-10-22T07:35:00Z</cp:lastPrinted>
  <dcterms:created xsi:type="dcterms:W3CDTF">2018-10-22T08:58:00Z</dcterms:created>
  <dcterms:modified xsi:type="dcterms:W3CDTF">2018-10-22T13:17:00Z</dcterms:modified>
</cp:coreProperties>
</file>